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color w:val="38761d"/>
        </w:rPr>
      </w:pPr>
      <w:r w:rsidDel="00000000" w:rsidR="00000000" w:rsidRPr="00000000">
        <w:rPr>
          <w:b w:val="1"/>
          <w:color w:val="38761d"/>
          <w:rtl w:val="0"/>
        </w:rPr>
        <w:t xml:space="preserve">Соглашение о присоединении к Сублицензионному договору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b w:val="1"/>
          <w:color w:val="38761d"/>
        </w:rPr>
      </w:pPr>
      <w:r w:rsidDel="00000000" w:rsidR="00000000" w:rsidRPr="00000000">
        <w:rPr>
          <w:b w:val="1"/>
          <w:color w:val="38761d"/>
          <w:rtl w:val="0"/>
        </w:rPr>
        <w:t xml:space="preserve">о предоставлении неисключительных прав на использование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b w:val="1"/>
          <w:color w:val="38761d"/>
        </w:rPr>
      </w:pPr>
      <w:r w:rsidDel="00000000" w:rsidR="00000000" w:rsidRPr="00000000">
        <w:rPr>
          <w:b w:val="1"/>
          <w:color w:val="38761d"/>
          <w:rtl w:val="0"/>
        </w:rPr>
        <w:t xml:space="preserve">Программного обеспечения “COMPETERA”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b w:val="1"/>
          <w:color w:val="38761d"/>
          <w:highlight w:val="yellow"/>
        </w:rPr>
      </w:pPr>
      <w:r w:rsidDel="00000000" w:rsidR="00000000" w:rsidRPr="00000000">
        <w:rPr>
          <w:b w:val="1"/>
          <w:color w:val="38761d"/>
          <w:highlight w:val="yellow"/>
          <w:rtl w:val="0"/>
        </w:rPr>
        <w:t xml:space="preserve">№___________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80.0" w:type="dxa"/>
        <w:jc w:val="left"/>
        <w:tblInd w:w="-230.0" w:type="dxa"/>
        <w:tblLayout w:type="fixed"/>
        <w:tblLook w:val="0000"/>
      </w:tblPr>
      <w:tblGrid>
        <w:gridCol w:w="4540"/>
        <w:gridCol w:w="4540"/>
        <w:tblGridChange w:id="0">
          <w:tblGrid>
            <w:gridCol w:w="4540"/>
            <w:gridCol w:w="4540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г. Санкт – Петербург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firstLine="567"/>
              <w:contextualSpacing w:val="0"/>
              <w:jc w:val="right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          __ _______ 2017 года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Общество с ограниченной ответственностью «КОМПЕТЕРА РУ»</w:t>
      </w:r>
      <w:r w:rsidDel="00000000" w:rsidR="00000000" w:rsidRPr="00000000">
        <w:rPr>
          <w:rtl w:val="0"/>
        </w:rPr>
        <w:t xml:space="preserve"> в лице Генерального директора Букурова Олега Петровича, действующего на основании Устава, (далее - “Лицензиат”) с одной стороны, </w:t>
      </w:r>
    </w:p>
    <w:p w:rsidR="00000000" w:rsidDel="00000000" w:rsidP="00000000" w:rsidRDefault="00000000" w:rsidRPr="00000000">
      <w:pPr>
        <w:pBdr/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  <w:t xml:space="preserve">и  </w:t>
      </w:r>
    </w:p>
    <w:p w:rsidR="00000000" w:rsidDel="00000000" w:rsidP="00000000" w:rsidRDefault="00000000" w:rsidRPr="00000000">
      <w:pPr>
        <w:pBdr/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Общество с ограниченной ответственностью </w:t>
      </w:r>
      <w:r w:rsidDel="00000000" w:rsidR="00000000" w:rsidRPr="00000000">
        <w:rPr>
          <w:b w:val="1"/>
          <w:highlight w:val="yellow"/>
          <w:rtl w:val="0"/>
        </w:rPr>
        <w:t xml:space="preserve">«__________»</w:t>
      </w:r>
      <w:r w:rsidDel="00000000" w:rsidR="00000000" w:rsidRPr="00000000">
        <w:rPr>
          <w:rtl w:val="0"/>
        </w:rPr>
        <w:t xml:space="preserve"> в лице генерального директора </w:t>
      </w:r>
      <w:r w:rsidDel="00000000" w:rsidR="00000000" w:rsidRPr="00000000">
        <w:rPr>
          <w:highlight w:val="yellow"/>
          <w:rtl w:val="0"/>
        </w:rPr>
        <w:t xml:space="preserve">_________</w:t>
      </w:r>
      <w:r w:rsidDel="00000000" w:rsidR="00000000" w:rsidRPr="00000000">
        <w:rPr>
          <w:rtl w:val="0"/>
        </w:rPr>
        <w:t xml:space="preserve">, действующего на основании Устава, (далее - “Сублицензиат”) с другой стороны, вместе именуемые – «Стороны», а каждый отдельно – «Сторона», заключили настоящее Соглашение о присоединении к Сублицензионному договору о предоставлении неисключительных прав на использование Программного обеспечения “COMPETERA” </w:t>
      </w:r>
      <w:r w:rsidDel="00000000" w:rsidR="00000000" w:rsidRPr="00000000">
        <w:rPr>
          <w:highlight w:val="yellow"/>
          <w:rtl w:val="0"/>
        </w:rPr>
        <w:t xml:space="preserve">№ ______ </w:t>
      </w:r>
      <w:r w:rsidDel="00000000" w:rsidR="00000000" w:rsidRPr="00000000">
        <w:rPr>
          <w:rtl w:val="0"/>
        </w:rPr>
        <w:t xml:space="preserve">(далее – «Соглашение») о нижеследующем: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Статья 1.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Подписанием настоящего Соглашения Сублицензиат присоединяется и обязуется выполнять условия Сублицензионного договора о предоставлении неисключительных прав на использование Программного обеспечения “COMPETERA” в редакции от 9 августа 2016 года, текст которого размещен на официальном сайте Лицензиата в сети Интернет по адресу: 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http://competera.ru/sublicense-agreement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Статья 2.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Лицензиат в порядке и на условиях Сублицензионного договора о предоставлении неисключительных прав на использование Программного обеспечения “COMPETERA”, также на условиях настоящего Соглашения за Лицензионное вознаграждение (роялти) предоставляет Сублицензиату право использования Программного обеспечения, Конфигурация и стоимость которого приведена ниже: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2.2. Конфигурация Программного обеспечения </w:t>
      </w:r>
      <w:r w:rsidDel="00000000" w:rsidR="00000000" w:rsidRPr="00000000">
        <w:rPr>
          <w:b w:val="1"/>
          <w:rtl w:val="0"/>
        </w:rPr>
        <w:t xml:space="preserve">Competera Pricing Platform Advanced: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70.866141732284" w:type="dxa"/>
        <w:jc w:val="left"/>
        <w:tblLayout w:type="fixed"/>
        <w:tblLook w:val="0600"/>
      </w:tblPr>
      <w:tblGrid>
        <w:gridCol w:w="4500.697806647255"/>
        <w:gridCol w:w="4570.168335085029"/>
        <w:tblGridChange w:id="0">
          <w:tblGrid>
            <w:gridCol w:w="4500.697806647255"/>
            <w:gridCol w:w="4570.168335085029"/>
          </w:tblGrid>
        </w:tblGridChange>
      </w:tblGrid>
      <w:tr>
        <w:trPr>
          <w:trHeight w:val="6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Технические характеристики платформы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Продуктов для оптимизации*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Пересмотр цен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раза в 24 часа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Срочные уведомления о ценовых и ассортиментных отклонениях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Хранение и визуализация исторических данных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Расписание сканирования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Базовые правила переоценки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Поддержка marketplace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Интеграция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BigQuery streaming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Поддержка пользователей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95%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Email поддержка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Support portal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Голосовая поддержка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Support Manager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Конфигурация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Максимальное кол-во сайтов</w:t>
            </w:r>
            <w:r w:rsidDel="00000000" w:rsidR="00000000" w:rsidRPr="00000000">
              <w:rPr>
                <w:rtl w:val="0"/>
              </w:rPr>
              <w:t xml:space="preserve"> в категории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 пользователей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Лимит замены товаров (%) в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предоставления лицензии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(двенадцать) месяцев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Тип оплаты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Предоплата за месяц</w:t>
            </w:r>
          </w:p>
        </w:tc>
      </w:tr>
    </w:tbl>
    <w:p w:rsidR="00000000" w:rsidDel="00000000" w:rsidP="00000000" w:rsidRDefault="00000000" w:rsidRPr="00000000">
      <w:pPr>
        <w:pBdr/>
        <w:spacing w:line="288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i w:val="1"/>
          <w:rtl w:val="0"/>
        </w:rPr>
        <w:t xml:space="preserve">Количество продуктов для оптимизации может меняться в случаях добавления Пользователем дополнительных продуктов (товаров) или замены ассортимента. Точное количество продуктов (товаров) для оптимизации на текущую дату отображается в кабинете Пользователя. 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Для целей настоящего Соглашения термины имеют следующие значения: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5.5"/>
        <w:gridCol w:w="4535.5"/>
        <w:tblGridChange w:id="0">
          <w:tblGrid>
            <w:gridCol w:w="4535.5"/>
            <w:gridCol w:w="4535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Опция/процесс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Описание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Правила переоценки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автоматические предложения сервисом к рассмотрению пользователя цены на товар, которая рассчитывается на основании заданных параметров.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Поддержка </w:t>
            </w:r>
            <w:r w:rsidDel="00000000" w:rsidR="00000000" w:rsidRPr="00000000">
              <w:rPr>
                <w:highlight w:val="white"/>
                <w:rtl w:val="0"/>
              </w:rPr>
              <w:t xml:space="preserve">marketplace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анализ и визуализация данных с товарных площадок.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З</w:t>
            </w:r>
            <w:r w:rsidDel="00000000" w:rsidR="00000000" w:rsidRPr="00000000">
              <w:rPr>
                <w:highlight w:val="white"/>
                <w:rtl w:val="0"/>
              </w:rPr>
              <w:t xml:space="preserve">амена товаров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добавление и/или замена продуктов в Competera Pricing Platform.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88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Общая сумма Лицензионного вознаграждения за </w:t>
      </w:r>
      <w:r w:rsidDel="00000000" w:rsidR="00000000" w:rsidRPr="00000000">
        <w:rPr>
          <w:highlight w:val="white"/>
          <w:rtl w:val="0"/>
        </w:rPr>
        <w:t xml:space="preserve">12 (двенадцать) календарных  месяцев использования Программного обеспечения </w:t>
      </w:r>
      <w:r w:rsidDel="00000000" w:rsidR="00000000" w:rsidRPr="00000000">
        <w:rPr>
          <w:rtl w:val="0"/>
        </w:rPr>
        <w:t xml:space="preserve">состоит из 12 (двенадцати) ежемесячных платежей, а также Лицензионного вознаграждения за подключение, стоимость и конфигурация которых предусмотрена в п. 2.2. настоящего Соглашения, и составляет – _______  (_______) рублей.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Ежемесячная стоимость конфигурации Программного обеспечения составляет  - _____ (____________) рублей. Сумма Лицензионного вознаграждения за подключение составляет _____ (__________) рублей.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В случаях, когда стоимость конфигурации Программного обеспечения в месяц по факту использования превышает лимиты, установленные конфигурацией Программного обеспечения и настоящим Соглашением, Сублицензиат обязан дополнительно помимо ежемесячной стоимости конфигурации Программного обеспечения, указанной в п. 2.3. настоящего Приложения, оплатить стоимость использованного за Отчетный месяц Программного обеспечения, которое выходит за пределы установленных Конфигурацией Программного обеспечения лимитов и не включено в Ежемесячную стоимость конфигурации Программного обеспечения. В таком случае стоимость дополнительно использованного Сублицензиатом Программного обеспечения за Отчетный месяц рассчитывается на основании Калькулятора цен Лицензита, который находится в п. 2.5. настоящего Соглашения, и окончательного количества продуктов (товаров) для оптимизации. Точное количество продуктов (товаров) для оптимизации на текущую дату отображается в кабинете Пользователя. Стоимость дополнительно использованного Сублицензиатом Программного обеспечения за Отчетный месяц указывается в соответствующем счете, который должен быть оплачен Сублицензиатом в течение 5 (пяти) рабочих дней после выставления счета Лицензиатом.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2.5. Калькулятор цен на Программное обеспечение. </w:t>
      </w:r>
    </w:p>
    <w:tbl>
      <w:tblPr>
        <w:tblStyle w:val="Table4"/>
        <w:bidiVisual w:val="0"/>
        <w:tblW w:w="9070.866141732286" w:type="dxa"/>
        <w:jc w:val="left"/>
        <w:tblLayout w:type="fixed"/>
        <w:tblLook w:val="0000"/>
      </w:tblPr>
      <w:tblGrid>
        <w:gridCol w:w="2957.241760806244"/>
        <w:gridCol w:w="3056.81219046302"/>
        <w:gridCol w:w="3056.81219046302"/>
        <w:tblGridChange w:id="0">
          <w:tblGrid>
            <w:gridCol w:w="2957.241760806244"/>
            <w:gridCol w:w="3056.81219046302"/>
            <w:gridCol w:w="3056.81219046302"/>
          </w:tblGrid>
        </w:tblGridChange>
      </w:tblGrid>
      <w:tr>
        <w:trPr>
          <w:trHeight w:val="4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Дополнительные опции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Стоимость, руб.*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эквивалент стоимости в долларах США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Стоимость замены товаров сверх лимита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___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Дополнительный пользовательский доступ в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500 дополнительных товаров в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$90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i w:val="1"/>
          <w:rtl w:val="0"/>
        </w:rPr>
        <w:t xml:space="preserve">Стоимость в рублях согласно официальному курсу доллара США к рублю, установленному Центральным банком Российской Федерации на день подписания Соглашения.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2.6. Ежемесячная стоимость конфигурации Программного обеспечения составляет  - _____ (____________) рублей. Стороны согласились, что ежемесячная стоимость конфигурации Программного обеспечения подлежит оплате в рублях в сумме, эквивалентной _________ долларам США. Стоимость ежемесячной конфигурации Программного обеспечения корректируется и определяется ежемесячно, уплачивается в рублях в сумме, эквивалентной ______ долларам США согласно официальному курсу доллара США к рублю, установленному Центральным банком Российской Федерации на день выставления счета Лицензиатом.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2.7. Стоимость лицензии не включает в себя НДС, так как Лицензиат находится на упрощенной системе налогообложения (Уведомление о переходе на упрощенную систему налогообложения № 146493п от 3 октября 2014 года).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2.8. Расчетный период для переменной части Лицензионного вознаграждения (ежемесячная стоимость конфигурации Программного обеспечения) начинается с даты предоставления Сублицензиату ключей/кодов доступа к Программному обеспечению. В случае, если ключи/коды доступа к Программному обеспечению не предоставляются Сублицензиату в надлежащие сроки в связи с тем, что Сублицензиат не предоставил Лицензиату перечень товаров для </w:t>
      </w:r>
      <w:r w:rsidDel="00000000" w:rsidR="00000000" w:rsidRPr="00000000">
        <w:rPr>
          <w:highlight w:val="white"/>
          <w:rtl w:val="0"/>
        </w:rPr>
        <w:t xml:space="preserve">оптимизации </w:t>
      </w:r>
      <w:r w:rsidDel="00000000" w:rsidR="00000000" w:rsidRPr="00000000">
        <w:rPr>
          <w:rtl w:val="0"/>
        </w:rPr>
        <w:t xml:space="preserve">и/или другую вводную информацию, необходимую для адаптации Программного обеспечения в соответствии с выбранной Сублицензиатом конфигурацией Программного обеспечения, в формате и в сроки, согласованные Сторонами, расчетный период для переменной части Лицензионного вознаграждения (стоимость конфигурации Программного обеспечения в месяц) начинается не позднее, чем через четырнадцать дней с даты подписания Сторонами настоящего Соглашения вне зависимости от даты предоставления Сублицензиату ключей/кодов доступа к Программному обеспечению.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Статья 3.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Сублицензиату на условиях простой (неисключительной) лицензии за Лицензионное вознаграждение предоставляется право использования Программного обеспечения следующими способами: запускать, воспроизводить, выводить на экран, взаимодействовать иными способами с Программным обеспечением в соответствии с его функциональным назначением в пределах, установленных настоящим Договором и в соответствии с условиями Лицензионного договора конечного пользователя;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Полномочия Лицензиата на предоставление лицензионных прав на Программное обеспечение Сублицензиату установлены Лицензионным договором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от 25 декабря 2014 года №2, заключенным между Лицензиаром и Лицензиатом.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Статья 4.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Настоящее Соглашение вступает в силу со дня его подписания и действует до 31 декабря 2017 года.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В случае если за один месяц до его окончания ни одна из Сторон письменно не заявит о прекращении Договора, он будет считаться пролонгированным на следующий год. Данное условие повторяется по окончании каждого последующего периода действия Соглашения.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Настоящее Соглашение может расторгнуто досрочно в одностороннем порядке согласно условиям Статьи 10 Сублицензионного договора о предоставлении неисключительных прав на использование Программного обеспечения  “COMPETERA”, текст которого размещен на официальном сайте Лицензиата в сети Интернет по адресу: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http://competera.ru/sublicense-agreement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Статья 5.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Любые уведомления, заявления, предупреждения, претензии должны быть выполнены в письменной форме, направлены заказным письмом, ценным письмом, курьерской почтой или переданы по факсу, электронной почтой по реквизитам, указанным в данном Соглашении. В случае изменения местонахождения и/или реквизитов Сторон, они должны письменно или по электронной почте уведомлять о таком изменении другую Сторону в трехдневный срок.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Дополнения и изменения к данному Соглашению будут иметь силу, в случае если они выполнены в письменной форме, подписаны уполномоченными представителями Сторон и скреплены печатями (при их наличии).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Все дополнительные соглашения, приложения к данному Соглашению являются его неотъемлемой частью. В случае расхождений между положениями Соглашения и дополнительных соглашений, приложений положения дополнительных соглашений, приложений будут иметь преимущественную силу.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Данное Соглашение заключено в двух экземплярах, которые имеют равную юридическую силу, по одному для каждой из Сторон.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060.0" w:type="dxa"/>
        <w:jc w:val="left"/>
        <w:tblInd w:w="-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5"/>
        <w:gridCol w:w="4395"/>
        <w:tblGridChange w:id="0">
          <w:tblGrid>
            <w:gridCol w:w="4665"/>
            <w:gridCol w:w="439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Style w:val="Heading1"/>
              <w:pBdr/>
              <w:spacing w:after="0" w:before="0" w:line="240" w:lineRule="auto"/>
              <w:contextualSpacing w:val="0"/>
              <w:jc w:val="center"/>
              <w:rPr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sz w:val="22"/>
                <w:szCs w:val="22"/>
                <w:rtl w:val="0"/>
              </w:rPr>
              <w:t xml:space="preserve">Лицензиат</w:t>
            </w:r>
          </w:p>
        </w:tc>
        <w:tc>
          <w:tcPr/>
          <w:p w:rsidR="00000000" w:rsidDel="00000000" w:rsidP="00000000" w:rsidRDefault="00000000" w:rsidRPr="00000000">
            <w:pPr>
              <w:pStyle w:val="Heading1"/>
              <w:pBdr/>
              <w:spacing w:after="0" w:before="0" w:line="240" w:lineRule="auto"/>
              <w:contextualSpacing w:val="0"/>
              <w:jc w:val="center"/>
              <w:rPr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sz w:val="22"/>
                <w:szCs w:val="22"/>
                <w:rtl w:val="0"/>
              </w:rPr>
              <w:t xml:space="preserve">Сублицензиат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ООО «КОМПЕТЕРА РУ»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1"/>
              <w:pBdr/>
              <w:spacing w:after="0" w:before="0" w:line="240" w:lineRule="auto"/>
              <w:contextualSpacing w:val="0"/>
              <w:rPr>
                <w:b w:val="1"/>
                <w:color w:val="36609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Юридический адрес:г. Санкт-Петербург,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пр. Новочеркасский, д. 47, к. 1, оф.28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тел: +79217455204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Почтовый адрес: 198412, Санкт-Петербург, г.Ломоносов, ул.Сафронова, дом 4 А для ООО "Компетера РУ"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Северо-Западный банк ОАО "Сбербанк России"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счет банка: 30101810500000000653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счет получателя: 40702810055240000370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ИНН\КИО получателя: 7806534459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highlight w:val="white"/>
                <w:rtl w:val="0"/>
              </w:rPr>
              <w:t xml:space="preserve">ОГРН: 1147847349000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highlight w:val="white"/>
                <w:rtl w:val="0"/>
              </w:rPr>
              <w:t xml:space="preserve">КПП: 780601001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highlight w:val="white"/>
                <w:rtl w:val="0"/>
              </w:rPr>
              <w:t xml:space="preserve">БИК: 044030653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highlight w:val="white"/>
                <w:rtl w:val="0"/>
              </w:rPr>
              <w:t xml:space="preserve">ОКВЭД - 72.40   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highlight w:val="white"/>
                <w:rtl w:val="0"/>
              </w:rPr>
              <w:t xml:space="preserve">ОКПО 72417384 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highlight w:val="white"/>
                <w:rtl w:val="0"/>
              </w:rPr>
              <w:t xml:space="preserve">ОКАТО 40278563000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Генеральный директор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 Букуров О.П.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1"/>
              <w:pBdr/>
              <w:spacing w:after="0" w:before="0" w:line="240" w:lineRule="auto"/>
              <w:contextualSpacing w:val="0"/>
              <w:rPr>
                <w:color w:val="36609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pBdr/>
              <w:spacing w:after="0" w:before="0" w:line="240" w:lineRule="auto"/>
              <w:contextualSpacing w:val="0"/>
              <w:rPr>
                <w:b w:val="1"/>
                <w:color w:val="36609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pBdr/>
              <w:spacing w:after="0" w:before="0" w:line="240" w:lineRule="auto"/>
              <w:contextualSpacing w:val="0"/>
              <w:rPr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pBdr/>
              <w:spacing w:after="0" w:before="0" w:line="240" w:lineRule="auto"/>
              <w:contextualSpacing w:val="0"/>
              <w:rPr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pBdr/>
              <w:spacing w:after="0" w:before="0" w:line="240" w:lineRule="auto"/>
              <w:contextualSpacing w:val="0"/>
              <w:rPr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pBdr/>
              <w:spacing w:after="0" w:before="0" w:line="240" w:lineRule="auto"/>
              <w:contextualSpacing w:val="0"/>
              <w:rPr>
                <w:b w:val="1"/>
                <w:color w:val="36609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Генеральный директор</w:t>
            </w:r>
            <w:r w:rsidDel="00000000" w:rsidR="00000000" w:rsidRPr="00000000">
              <w:rPr>
                <w:b w:val="1"/>
                <w:color w:val="36609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Style w:val="Heading1"/>
              <w:pBdr/>
              <w:spacing w:after="0" w:before="0" w:line="240" w:lineRule="auto"/>
              <w:contextualSpacing w:val="0"/>
              <w:rPr>
                <w:b w:val="1"/>
                <w:color w:val="36609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pBdr/>
              <w:spacing w:after="0" w:before="0" w:line="240" w:lineRule="auto"/>
              <w:contextualSpacing w:val="0"/>
              <w:rPr>
                <w:b w:val="1"/>
                <w:color w:val="36609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66091"/>
                <w:sz w:val="22"/>
                <w:szCs w:val="22"/>
                <w:rtl w:val="0"/>
              </w:rPr>
              <w:t xml:space="preserve">_______________________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38761d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3.8582677165355" w:top="1133.8582677165355" w:left="1700.787401574803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competera.ru/sublicense-agreement" TargetMode="External"/><Relationship Id="rId6" Type="http://schemas.openxmlformats.org/officeDocument/2006/relationships/hyperlink" Target="http://competera.ru/sublicense-agreemen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